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59" w:rsidRDefault="00693059"/>
    <w:p w:rsidR="006B1F25" w:rsidRDefault="009746C4" w:rsidP="005651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Shieer BWC</w:t>
      </w:r>
      <w:r w:rsidR="007353FD">
        <w:rPr>
          <w:b/>
          <w:sz w:val="36"/>
          <w:szCs w:val="36"/>
        </w:rPr>
        <w:t>®</w:t>
      </w:r>
      <w:r w:rsidR="00AE1340">
        <w:rPr>
          <w:b/>
          <w:sz w:val="36"/>
          <w:szCs w:val="36"/>
        </w:rPr>
        <w:t xml:space="preserve"> Merkblatt</w:t>
      </w:r>
    </w:p>
    <w:p w:rsidR="00AE1340" w:rsidRDefault="00AE1340" w:rsidP="005651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Siehe </w:t>
      </w:r>
      <w:proofErr w:type="spellStart"/>
      <w:r>
        <w:rPr>
          <w:b/>
          <w:sz w:val="36"/>
          <w:szCs w:val="36"/>
        </w:rPr>
        <w:t>Safety</w:t>
      </w:r>
      <w:proofErr w:type="spellEnd"/>
      <w:r>
        <w:rPr>
          <w:b/>
          <w:sz w:val="36"/>
          <w:szCs w:val="36"/>
        </w:rPr>
        <w:t>-Data Sheet, sowie Gutachten Fresenius</w:t>
      </w:r>
    </w:p>
    <w:p w:rsidR="00F04981" w:rsidRPr="00F04981" w:rsidRDefault="009A13CF" w:rsidP="0056518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Für Abwasserreinigungsanlagen </w:t>
      </w:r>
    </w:p>
    <w:p w:rsidR="00DF42F3" w:rsidRDefault="00DF42F3" w:rsidP="00DF42F3">
      <w:pPr>
        <w:spacing w:after="0"/>
        <w:rPr>
          <w:rFonts w:cstheme="minorHAnsi"/>
          <w:sz w:val="24"/>
          <w:szCs w:val="24"/>
        </w:rPr>
      </w:pPr>
    </w:p>
    <w:p w:rsidR="00693059" w:rsidRDefault="008F26AF" w:rsidP="00DF42F3">
      <w:pPr>
        <w:spacing w:after="0"/>
        <w:rPr>
          <w:rFonts w:cstheme="minorHAnsi"/>
          <w:sz w:val="24"/>
          <w:szCs w:val="24"/>
        </w:rPr>
      </w:pPr>
      <w:r w:rsidRPr="00DF42F3">
        <w:rPr>
          <w:rFonts w:cstheme="minorHAnsi"/>
          <w:sz w:val="24"/>
          <w:szCs w:val="24"/>
        </w:rPr>
        <w:t>Das Kohlenstoff, Stickstoff und Pho</w:t>
      </w:r>
      <w:r w:rsidR="00DF42F3" w:rsidRPr="00DF42F3">
        <w:rPr>
          <w:rFonts w:cstheme="minorHAnsi"/>
          <w:sz w:val="24"/>
          <w:szCs w:val="24"/>
        </w:rPr>
        <w:t>sphorverhältnis soll 50C-10N-1P betragen</w:t>
      </w:r>
      <w:r w:rsidR="00DF42F3">
        <w:rPr>
          <w:rFonts w:cstheme="minorHAnsi"/>
          <w:sz w:val="24"/>
          <w:szCs w:val="24"/>
        </w:rPr>
        <w:t>.</w:t>
      </w:r>
    </w:p>
    <w:p w:rsidR="00DF42F3" w:rsidRPr="00DB03A3" w:rsidRDefault="00DF42F3" w:rsidP="00DF42F3">
      <w:pPr>
        <w:rPr>
          <w:sz w:val="28"/>
          <w:szCs w:val="28"/>
        </w:rPr>
      </w:pPr>
      <w:r>
        <w:rPr>
          <w:sz w:val="28"/>
          <w:szCs w:val="28"/>
        </w:rPr>
        <w:t>Alle Prozesse werden limitiert durch das CNP-Verhältnis 49-9 zu 1.</w:t>
      </w:r>
    </w:p>
    <w:p w:rsidR="00AE1340" w:rsidRPr="0056518C" w:rsidRDefault="00AE1340" w:rsidP="00AE134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Multiresistente Keime werden im Wuchs gehemmt.</w:t>
      </w:r>
    </w:p>
    <w:p w:rsidR="00693059" w:rsidRDefault="00693059">
      <w:pPr>
        <w:rPr>
          <w:sz w:val="24"/>
          <w:szCs w:val="24"/>
        </w:rPr>
      </w:pPr>
      <w:r w:rsidRPr="0056518C">
        <w:rPr>
          <w:sz w:val="24"/>
          <w:szCs w:val="24"/>
        </w:rPr>
        <w:t>Die erforderlichen Enzyme sind im BWC enthalten.</w:t>
      </w:r>
    </w:p>
    <w:p w:rsidR="00693059" w:rsidRPr="0056518C" w:rsidRDefault="00693059">
      <w:pPr>
        <w:rPr>
          <w:sz w:val="24"/>
          <w:szCs w:val="24"/>
        </w:rPr>
      </w:pPr>
      <w:r w:rsidRPr="0056518C">
        <w:rPr>
          <w:sz w:val="24"/>
          <w:szCs w:val="24"/>
        </w:rPr>
        <w:t xml:space="preserve">Schwefelanteile werden durch das </w:t>
      </w:r>
      <w:proofErr w:type="spellStart"/>
      <w:r w:rsidRPr="0056518C">
        <w:rPr>
          <w:sz w:val="24"/>
          <w:szCs w:val="24"/>
        </w:rPr>
        <w:t>Shieer</w:t>
      </w:r>
      <w:r w:rsidR="0056518C" w:rsidRPr="0056518C">
        <w:rPr>
          <w:sz w:val="24"/>
          <w:szCs w:val="24"/>
        </w:rPr>
        <w:t>-</w:t>
      </w:r>
      <w:r w:rsidRPr="0056518C">
        <w:rPr>
          <w:sz w:val="24"/>
          <w:szCs w:val="24"/>
        </w:rPr>
        <w:t>Eisenchelat</w:t>
      </w:r>
      <w:proofErr w:type="spellEnd"/>
      <w:r w:rsidRPr="0056518C">
        <w:rPr>
          <w:sz w:val="24"/>
          <w:szCs w:val="24"/>
        </w:rPr>
        <w:t xml:space="preserve"> gebunden und dienen als </w:t>
      </w:r>
      <w:r w:rsidR="00110228">
        <w:rPr>
          <w:sz w:val="24"/>
          <w:szCs w:val="24"/>
        </w:rPr>
        <w:t xml:space="preserve">Aufwuchs-fläche </w:t>
      </w:r>
      <w:r w:rsidRPr="0056518C">
        <w:rPr>
          <w:sz w:val="24"/>
          <w:szCs w:val="24"/>
        </w:rPr>
        <w:t xml:space="preserve">für </w:t>
      </w:r>
      <w:proofErr w:type="spellStart"/>
      <w:r w:rsidRPr="0056518C">
        <w:rPr>
          <w:sz w:val="24"/>
          <w:szCs w:val="24"/>
        </w:rPr>
        <w:t>Sulfofibro</w:t>
      </w:r>
      <w:proofErr w:type="spellEnd"/>
      <w:r w:rsidRPr="0056518C">
        <w:rPr>
          <w:sz w:val="24"/>
          <w:szCs w:val="24"/>
        </w:rPr>
        <w:t xml:space="preserve">- wie </w:t>
      </w:r>
      <w:r w:rsidR="009746C4">
        <w:rPr>
          <w:sz w:val="24"/>
          <w:szCs w:val="24"/>
        </w:rPr>
        <w:t xml:space="preserve">A-aeroben, Nitrifizierende- und </w:t>
      </w:r>
      <w:proofErr w:type="spellStart"/>
      <w:r w:rsidR="009746C4">
        <w:rPr>
          <w:sz w:val="24"/>
          <w:szCs w:val="24"/>
        </w:rPr>
        <w:t>Denitrifizierende</w:t>
      </w:r>
      <w:proofErr w:type="spellEnd"/>
      <w:r w:rsidR="009746C4">
        <w:rPr>
          <w:sz w:val="24"/>
          <w:szCs w:val="24"/>
        </w:rPr>
        <w:t xml:space="preserve"> </w:t>
      </w:r>
      <w:r w:rsidRPr="0056518C">
        <w:rPr>
          <w:sz w:val="24"/>
          <w:szCs w:val="24"/>
        </w:rPr>
        <w:t>Organismen.</w:t>
      </w:r>
      <w:r w:rsidR="00110228">
        <w:rPr>
          <w:sz w:val="24"/>
          <w:szCs w:val="24"/>
        </w:rPr>
        <w:t xml:space="preserve"> Phosphorelimination 0,2 mg/l &lt;.</w:t>
      </w:r>
    </w:p>
    <w:p w:rsidR="00693059" w:rsidRDefault="00693059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6518C">
        <w:rPr>
          <w:sz w:val="28"/>
          <w:szCs w:val="28"/>
        </w:rPr>
        <w:t xml:space="preserve">Die Substratmenge soll </w:t>
      </w:r>
      <w:r w:rsidR="009746C4">
        <w:rPr>
          <w:sz w:val="28"/>
          <w:szCs w:val="28"/>
        </w:rPr>
        <w:t>die Raumbelastung von 4,2 kg/m</w:t>
      </w:r>
      <w:r w:rsidR="00110228">
        <w:rPr>
          <w:sz w:val="28"/>
          <w:szCs w:val="28"/>
        </w:rPr>
        <w:t>³</w:t>
      </w:r>
      <w:r w:rsidR="009746C4">
        <w:rPr>
          <w:sz w:val="28"/>
          <w:szCs w:val="28"/>
        </w:rPr>
        <w:t xml:space="preserve"> nicht übersteigen</w:t>
      </w:r>
      <w:r w:rsidRPr="0056518C">
        <w:rPr>
          <w:sz w:val="28"/>
          <w:szCs w:val="28"/>
        </w:rPr>
        <w:t>.</w:t>
      </w:r>
    </w:p>
    <w:p w:rsidR="00AE1340" w:rsidRDefault="00AE1340" w:rsidP="00AE134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Dosiermenge: </w:t>
      </w:r>
      <w:r>
        <w:rPr>
          <w:sz w:val="28"/>
          <w:szCs w:val="28"/>
        </w:rPr>
        <w:tab/>
      </w:r>
      <w:r w:rsidR="00110228">
        <w:rPr>
          <w:sz w:val="28"/>
          <w:szCs w:val="28"/>
        </w:rPr>
        <w:t>3ppm BWC pro m³ Abwasser</w:t>
      </w:r>
      <w:r w:rsidR="009746C4">
        <w:rPr>
          <w:sz w:val="28"/>
          <w:szCs w:val="28"/>
        </w:rPr>
        <w:t xml:space="preserve">, Input bei 500 CSB </w:t>
      </w:r>
    </w:p>
    <w:p w:rsidR="00AE1340" w:rsidRPr="0056518C" w:rsidRDefault="00AE1340" w:rsidP="00AE134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059" w:rsidRPr="0056518C" w:rsidRDefault="00693059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6518C">
        <w:rPr>
          <w:sz w:val="28"/>
          <w:szCs w:val="28"/>
        </w:rPr>
        <w:t xml:space="preserve">Die Operationstemperatur sollte </w:t>
      </w:r>
      <w:r w:rsidR="009746C4">
        <w:rPr>
          <w:sz w:val="28"/>
          <w:szCs w:val="28"/>
        </w:rPr>
        <w:t>0</w:t>
      </w:r>
      <w:r w:rsidRPr="0056518C">
        <w:rPr>
          <w:sz w:val="28"/>
          <w:szCs w:val="28"/>
        </w:rPr>
        <w:t xml:space="preserve"> °C </w:t>
      </w:r>
      <w:r w:rsidR="009746C4">
        <w:rPr>
          <w:sz w:val="28"/>
          <w:szCs w:val="28"/>
        </w:rPr>
        <w:t>nicht unterschreiten</w:t>
      </w:r>
      <w:r w:rsidRPr="0056518C">
        <w:rPr>
          <w:sz w:val="28"/>
          <w:szCs w:val="28"/>
        </w:rPr>
        <w:t>.</w:t>
      </w:r>
      <w:r w:rsidR="00F65A32">
        <w:rPr>
          <w:sz w:val="28"/>
          <w:szCs w:val="28"/>
        </w:rPr>
        <w:t xml:space="preserve"> </w:t>
      </w:r>
    </w:p>
    <w:p w:rsidR="00693059" w:rsidRPr="0056518C" w:rsidRDefault="00110228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Stickstoffreduzierung gegen 0 mg/l</w:t>
      </w:r>
    </w:p>
    <w:p w:rsidR="00693059" w:rsidRPr="0056518C" w:rsidRDefault="00110228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der Belüftungsphase 0,8 mg/l 0</w:t>
      </w:r>
      <w:r w:rsidRPr="00110228">
        <w:rPr>
          <w:sz w:val="16"/>
          <w:szCs w:val="16"/>
        </w:rPr>
        <w:t>2</w:t>
      </w:r>
      <w:r>
        <w:rPr>
          <w:sz w:val="28"/>
          <w:szCs w:val="28"/>
        </w:rPr>
        <w:t xml:space="preserve"> max. </w:t>
      </w:r>
    </w:p>
    <w:p w:rsidR="00693059" w:rsidRPr="0056518C" w:rsidRDefault="00110228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Denitrifikationsphase bis zum 0</w:t>
      </w:r>
      <w:r w:rsidRPr="00110228">
        <w:rPr>
          <w:sz w:val="16"/>
          <w:szCs w:val="16"/>
        </w:rPr>
        <w:t>2</w:t>
      </w:r>
      <w:r>
        <w:rPr>
          <w:sz w:val="28"/>
          <w:szCs w:val="28"/>
        </w:rPr>
        <w:t xml:space="preserve"> gegen Null herunter</w:t>
      </w:r>
      <w:r w:rsidR="00836E24">
        <w:rPr>
          <w:sz w:val="28"/>
          <w:szCs w:val="28"/>
        </w:rPr>
        <w:t xml:space="preserve"> reduzieren</w:t>
      </w:r>
      <w:r>
        <w:rPr>
          <w:sz w:val="28"/>
          <w:szCs w:val="28"/>
        </w:rPr>
        <w:t xml:space="preserve">  </w:t>
      </w:r>
    </w:p>
    <w:p w:rsidR="00693059" w:rsidRDefault="009746C4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Redox</w:t>
      </w:r>
      <w:proofErr w:type="spellEnd"/>
      <w:r>
        <w:rPr>
          <w:sz w:val="28"/>
          <w:szCs w:val="28"/>
        </w:rPr>
        <w:t xml:space="preserve"> – 40 bis + 50 mV</w:t>
      </w:r>
    </w:p>
    <w:p w:rsidR="00AE1340" w:rsidRDefault="00836E24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 das CNP-Verhältnis zu kompens</w:t>
      </w:r>
      <w:r w:rsidR="009746C4">
        <w:rPr>
          <w:sz w:val="28"/>
          <w:szCs w:val="28"/>
        </w:rPr>
        <w:t>ieren, liefern wir ebenfalls eine Flüssigkomponente als C,- oder N-Quelle auf Anfrage</w:t>
      </w:r>
    </w:p>
    <w:p w:rsidR="00EB5B9A" w:rsidRDefault="00EB5B9A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Das Produkt wird seit 1989 weltweit angewendet, dies in der Matrix unverändert. Es enthält keine Metalle die nicht in die Nahrungskette gelangen dürfen, wie Nickel </w:t>
      </w:r>
      <w:r w:rsidR="00110228">
        <w:rPr>
          <w:sz w:val="28"/>
          <w:szCs w:val="28"/>
        </w:rPr>
        <w:t>usw.</w:t>
      </w:r>
    </w:p>
    <w:p w:rsidR="00EB5B9A" w:rsidRDefault="00EB5B9A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 Verbringung auf Agrarflächen waren keine Verbr</w:t>
      </w:r>
      <w:r w:rsidR="00110228">
        <w:rPr>
          <w:sz w:val="28"/>
          <w:szCs w:val="28"/>
        </w:rPr>
        <w:t>ennungen bei Pflanzen erkennbar</w:t>
      </w:r>
    </w:p>
    <w:p w:rsidR="00110228" w:rsidRDefault="00110228" w:rsidP="006930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Während der Belüftungsphase auf 10 mg/l NH</w:t>
      </w:r>
      <w:r w:rsidRPr="00110228">
        <w:rPr>
          <w:sz w:val="18"/>
          <w:szCs w:val="18"/>
        </w:rPr>
        <w:t>4</w:t>
      </w:r>
      <w:r>
        <w:rPr>
          <w:sz w:val="28"/>
          <w:szCs w:val="28"/>
        </w:rPr>
        <w:t xml:space="preserve"> herunterfahren</w:t>
      </w:r>
    </w:p>
    <w:p w:rsidR="00DB03A3" w:rsidRDefault="00DB03A3" w:rsidP="00DB03A3">
      <w:pPr>
        <w:rPr>
          <w:sz w:val="28"/>
          <w:szCs w:val="28"/>
        </w:rPr>
      </w:pPr>
    </w:p>
    <w:p w:rsidR="00C2328D" w:rsidRDefault="00C2328D" w:rsidP="00DB03A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C2328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7C" w:rsidRDefault="00B2617C" w:rsidP="00693059">
      <w:pPr>
        <w:spacing w:after="0" w:line="240" w:lineRule="auto"/>
      </w:pPr>
      <w:r>
        <w:separator/>
      </w:r>
    </w:p>
  </w:endnote>
  <w:endnote w:type="continuationSeparator" w:id="0">
    <w:p w:rsidR="00B2617C" w:rsidRDefault="00B2617C" w:rsidP="0069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9" w:rsidRPr="000A4D29" w:rsidRDefault="000A4D29">
    <w:pPr>
      <w:pStyle w:val="Fuzeile"/>
      <w:rPr>
        <w:sz w:val="18"/>
        <w:szCs w:val="18"/>
      </w:rPr>
    </w:pPr>
    <w:r w:rsidRPr="000A4D29">
      <w:rPr>
        <w:sz w:val="18"/>
        <w:szCs w:val="18"/>
      </w:rPr>
      <w:t>Revision Date: 01.01.2018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7C" w:rsidRDefault="00B2617C" w:rsidP="00693059">
      <w:pPr>
        <w:spacing w:after="0" w:line="240" w:lineRule="auto"/>
      </w:pPr>
      <w:r>
        <w:separator/>
      </w:r>
    </w:p>
  </w:footnote>
  <w:footnote w:type="continuationSeparator" w:id="0">
    <w:p w:rsidR="00B2617C" w:rsidRDefault="00B2617C" w:rsidP="0069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59" w:rsidRDefault="00693059" w:rsidP="00693059">
    <w:pPr>
      <w:pStyle w:val="Kopfzeile"/>
      <w:jc w:val="right"/>
    </w:pPr>
    <w:r>
      <w:rPr>
        <w:noProof/>
      </w:rPr>
      <w:drawing>
        <wp:inline distT="0" distB="0" distL="0" distR="0" wp14:anchorId="7E7FA222" wp14:editId="017BF9D3">
          <wp:extent cx="1504950" cy="858520"/>
          <wp:effectExtent l="0" t="0" r="0" b="0"/>
          <wp:docPr id="2" name="Grafik 2" descr="C:\Users\Alex\AppData\Local\Microsoft\Windows\INetCache\Content.Word\Logo n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Alex\AppData\Local\Microsoft\Windows\INetCache\Content.Word\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F1664"/>
    <w:multiLevelType w:val="hybridMultilevel"/>
    <w:tmpl w:val="6A6E9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59"/>
    <w:rsid w:val="000A4D29"/>
    <w:rsid w:val="00110228"/>
    <w:rsid w:val="00285CFD"/>
    <w:rsid w:val="002E7049"/>
    <w:rsid w:val="004A7853"/>
    <w:rsid w:val="00532192"/>
    <w:rsid w:val="0056518C"/>
    <w:rsid w:val="005C114B"/>
    <w:rsid w:val="00693059"/>
    <w:rsid w:val="006B1F25"/>
    <w:rsid w:val="007353FD"/>
    <w:rsid w:val="007D3075"/>
    <w:rsid w:val="00836E24"/>
    <w:rsid w:val="008C6E4A"/>
    <w:rsid w:val="008F26AF"/>
    <w:rsid w:val="009746C4"/>
    <w:rsid w:val="009A13CF"/>
    <w:rsid w:val="00AE1340"/>
    <w:rsid w:val="00B2617C"/>
    <w:rsid w:val="00C2328D"/>
    <w:rsid w:val="00C666EF"/>
    <w:rsid w:val="00DB03A3"/>
    <w:rsid w:val="00DF42F3"/>
    <w:rsid w:val="00EB5B9A"/>
    <w:rsid w:val="00F04981"/>
    <w:rsid w:val="00F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DFC7"/>
  <w15:chartTrackingRefBased/>
  <w15:docId w15:val="{B5755204-BDC6-4658-810D-A624E7A7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059"/>
  </w:style>
  <w:style w:type="paragraph" w:styleId="Fuzeile">
    <w:name w:val="footer"/>
    <w:basedOn w:val="Standard"/>
    <w:link w:val="FuzeileZchn"/>
    <w:uiPriority w:val="99"/>
    <w:unhideWhenUsed/>
    <w:rsid w:val="0069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059"/>
  </w:style>
  <w:style w:type="paragraph" w:styleId="Listenabsatz">
    <w:name w:val="List Paragraph"/>
    <w:basedOn w:val="Standard"/>
    <w:uiPriority w:val="34"/>
    <w:qFormat/>
    <w:rsid w:val="006930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1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3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2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2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3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2018-03-07T11:17:00Z</cp:lastPrinted>
  <dcterms:created xsi:type="dcterms:W3CDTF">2018-03-06T13:07:00Z</dcterms:created>
  <dcterms:modified xsi:type="dcterms:W3CDTF">2018-03-16T12:50:00Z</dcterms:modified>
</cp:coreProperties>
</file>